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z w:val="36"/>
          <w:szCs w:val="28"/>
        </w:rPr>
      </w:pPr>
      <w:r>
        <w:rPr>
          <w:rFonts w:hint="eastAsia" w:ascii="宋体" w:hAnsi="宋体" w:eastAsia="宋体" w:cs="宋体"/>
          <w:b/>
          <w:bCs/>
          <w:sz w:val="36"/>
          <w:szCs w:val="28"/>
          <w:u w:val="single"/>
        </w:rPr>
        <w:t xml:space="preserve">  </w:t>
      </w:r>
      <w:r>
        <w:rPr>
          <w:rFonts w:hint="eastAsia" w:ascii="宋体" w:hAnsi="宋体" w:cs="宋体"/>
          <w:b/>
          <w:bCs/>
          <w:sz w:val="36"/>
          <w:szCs w:val="28"/>
          <w:u w:val="single"/>
          <w:lang w:val="en-US" w:eastAsia="zh-CN"/>
        </w:rPr>
        <w:t>惠州</w:t>
      </w:r>
      <w:r>
        <w:rPr>
          <w:rFonts w:hint="eastAsia" w:ascii="宋体" w:hAnsi="宋体" w:eastAsia="宋体" w:cs="宋体"/>
          <w:b/>
          <w:bCs/>
          <w:sz w:val="36"/>
          <w:szCs w:val="28"/>
          <w:u w:val="single"/>
        </w:rPr>
        <w:t>市</w:t>
      </w:r>
      <w:r>
        <w:rPr>
          <w:rFonts w:hint="eastAsia" w:ascii="宋体" w:hAnsi="宋体" w:cs="宋体"/>
          <w:b/>
          <w:bCs/>
          <w:sz w:val="36"/>
          <w:szCs w:val="28"/>
          <w:u w:val="single"/>
          <w:lang w:val="en-US" w:eastAsia="zh-CN"/>
        </w:rPr>
        <w:t>XX</w:t>
      </w:r>
      <w:r>
        <w:rPr>
          <w:rFonts w:hint="eastAsia" w:ascii="宋体" w:hAnsi="宋体" w:eastAsia="宋体" w:cs="宋体"/>
          <w:b/>
          <w:bCs/>
          <w:sz w:val="36"/>
          <w:szCs w:val="28"/>
          <w:u w:val="single"/>
        </w:rPr>
        <w:t xml:space="preserve">区 </w:t>
      </w:r>
      <w:r>
        <w:rPr>
          <w:rFonts w:hint="eastAsia" w:ascii="宋体" w:hAnsi="宋体" w:eastAsia="宋体" w:cs="宋体"/>
          <w:b/>
          <w:bCs/>
          <w:sz w:val="36"/>
          <w:szCs w:val="28"/>
        </w:rPr>
        <w:t>劳动人事争议仲裁委员会</w:t>
      </w:r>
    </w:p>
    <w:p>
      <w:pPr>
        <w:pStyle w:val="2"/>
        <w:spacing w:before="0" w:after="0" w:line="360" w:lineRule="auto"/>
        <w:jc w:val="center"/>
        <w:rPr>
          <w:rFonts w:hint="eastAsia" w:ascii="宋体" w:hAnsi="宋体" w:eastAsia="宋体" w:cs="宋体"/>
          <w:b/>
          <w:bCs/>
          <w:sz w:val="36"/>
          <w:szCs w:val="28"/>
        </w:rPr>
      </w:pPr>
      <w:bookmarkStart w:id="0" w:name="_Toc247613608"/>
      <w:r>
        <w:rPr>
          <w:rFonts w:hint="eastAsia" w:ascii="宋体" w:hAnsi="宋体" w:eastAsia="宋体" w:cs="宋体"/>
          <w:b/>
          <w:bCs/>
          <w:sz w:val="36"/>
          <w:szCs w:val="28"/>
        </w:rPr>
        <w:t>当事人有效送达地址确认书</w:t>
      </w:r>
      <w:bookmarkEnd w:id="0"/>
    </w:p>
    <w:p>
      <w:pPr>
        <w:rPr>
          <w:rFonts w:hint="eastAsia"/>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411"/>
        <w:gridCol w:w="6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6" w:hRule="exact"/>
          <w:jc w:val="center"/>
        </w:trPr>
        <w:tc>
          <w:tcPr>
            <w:tcW w:w="648" w:type="dxa"/>
            <w:noWrap w:val="0"/>
            <w:textDirection w:val="tbRlV"/>
            <w:vAlign w:val="center"/>
          </w:tcPr>
          <w:p>
            <w:pPr>
              <w:widowControl/>
              <w:spacing w:line="280" w:lineRule="exact"/>
              <w:ind w:left="113" w:right="113"/>
              <w:jc w:val="center"/>
              <w:rPr>
                <w:rFonts w:hint="eastAsia" w:ascii="仿宋_GB2312" w:hAnsi="宋体" w:eastAsia="仿宋_GB2312"/>
                <w:sz w:val="28"/>
                <w:szCs w:val="28"/>
              </w:rPr>
            </w:pPr>
            <w:r>
              <w:rPr>
                <w:rFonts w:hint="eastAsia" w:ascii="仿宋_GB2312" w:hAnsi="宋体" w:eastAsia="仿宋_GB2312"/>
                <w:sz w:val="28"/>
                <w:szCs w:val="28"/>
              </w:rPr>
              <w:t>告 知 事 项</w:t>
            </w:r>
          </w:p>
        </w:tc>
        <w:tc>
          <w:tcPr>
            <w:tcW w:w="8203" w:type="dxa"/>
            <w:gridSpan w:val="2"/>
            <w:noWrap w:val="0"/>
            <w:vAlign w:val="center"/>
          </w:tcPr>
          <w:p>
            <w:pPr>
              <w:widowControl/>
              <w:numPr>
                <w:ilvl w:val="0"/>
                <w:numId w:val="1"/>
              </w:numPr>
              <w:spacing w:line="500" w:lineRule="exact"/>
              <w:rPr>
                <w:rFonts w:hint="eastAsia" w:ascii="仿宋_GB2312" w:hAnsi="宋体" w:eastAsia="仿宋_GB2312"/>
                <w:sz w:val="28"/>
                <w:szCs w:val="28"/>
              </w:rPr>
            </w:pPr>
            <w:r>
              <w:rPr>
                <w:rFonts w:hint="eastAsia" w:ascii="仿宋_GB2312" w:hAnsi="宋体" w:eastAsia="仿宋_GB2312"/>
                <w:sz w:val="28"/>
                <w:szCs w:val="28"/>
              </w:rPr>
              <w:t>为便于当事人及时收到本委仲裁文书，保证仲裁程序顺利进</w:t>
            </w:r>
          </w:p>
          <w:p>
            <w:pPr>
              <w:widowControl/>
              <w:spacing w:line="500" w:lineRule="exact"/>
              <w:rPr>
                <w:rFonts w:hint="eastAsia" w:ascii="仿宋_GB2312" w:hAnsi="宋体" w:eastAsia="仿宋_GB2312"/>
                <w:sz w:val="28"/>
                <w:szCs w:val="28"/>
              </w:rPr>
            </w:pPr>
            <w:r>
              <w:rPr>
                <w:rFonts w:hint="eastAsia" w:ascii="仿宋_GB2312" w:hAnsi="宋体" w:eastAsia="仿宋_GB2312"/>
                <w:sz w:val="28"/>
                <w:szCs w:val="28"/>
              </w:rPr>
              <w:t xml:space="preserve">  行，当事人应当如实提供确切的送达地址。</w:t>
            </w:r>
          </w:p>
          <w:p>
            <w:pPr>
              <w:widowControl/>
              <w:numPr>
                <w:ilvl w:val="0"/>
                <w:numId w:val="1"/>
              </w:numPr>
              <w:spacing w:line="500" w:lineRule="exact"/>
              <w:ind w:left="560" w:hanging="560" w:hangingChars="200"/>
              <w:rPr>
                <w:rFonts w:hint="eastAsia" w:ascii="仿宋_GB2312" w:hAnsi="宋体" w:eastAsia="仿宋_GB2312"/>
                <w:sz w:val="28"/>
                <w:szCs w:val="28"/>
              </w:rPr>
            </w:pPr>
            <w:r>
              <w:rPr>
                <w:rFonts w:hint="eastAsia" w:ascii="仿宋_GB2312" w:hAnsi="宋体" w:eastAsia="仿宋_GB2312"/>
                <w:sz w:val="28"/>
                <w:szCs w:val="28"/>
              </w:rPr>
              <w:t>当事人确认的有效送达地址发生变化，应在变更后三日内向</w:t>
            </w:r>
          </w:p>
          <w:p>
            <w:pPr>
              <w:widowControl/>
              <w:spacing w:line="500" w:lineRule="exact"/>
              <w:ind w:left="-420" w:leftChars="-200"/>
              <w:rPr>
                <w:rFonts w:hint="eastAsia" w:ascii="仿宋_GB2312" w:hAnsi="宋体" w:eastAsia="仿宋_GB2312"/>
                <w:sz w:val="28"/>
                <w:szCs w:val="28"/>
              </w:rPr>
            </w:pPr>
            <w:r>
              <w:rPr>
                <w:rFonts w:hint="eastAsia" w:ascii="仿宋_GB2312" w:hAnsi="宋体" w:eastAsia="仿宋_GB2312"/>
                <w:sz w:val="28"/>
                <w:szCs w:val="28"/>
              </w:rPr>
              <w:t xml:space="preserve">     本委书面告知变更后的送达地址。</w:t>
            </w:r>
          </w:p>
          <w:p>
            <w:pPr>
              <w:widowControl/>
              <w:spacing w:line="500" w:lineRule="exact"/>
              <w:ind w:left="-420" w:leftChars="-200"/>
              <w:rPr>
                <w:rFonts w:hint="eastAsia" w:ascii="仿宋_GB2312" w:hAnsi="宋体" w:eastAsia="仿宋_GB2312"/>
                <w:sz w:val="28"/>
                <w:szCs w:val="28"/>
              </w:rPr>
            </w:pPr>
            <w:r>
              <w:rPr>
                <w:rFonts w:hint="eastAsia" w:ascii="仿宋_GB2312" w:hAnsi="宋体" w:eastAsia="仿宋_GB2312"/>
                <w:sz w:val="28"/>
                <w:szCs w:val="28"/>
              </w:rPr>
              <w:t xml:space="preserve">   3.因当事人提供的送达地址不准确、送达地址变更后未及时告</w:t>
            </w:r>
          </w:p>
          <w:p>
            <w:pPr>
              <w:widowControl/>
              <w:spacing w:line="500" w:lineRule="exact"/>
              <w:ind w:left="-420" w:leftChars="-200"/>
              <w:rPr>
                <w:rFonts w:hint="eastAsia" w:ascii="仿宋_GB2312" w:hAnsi="宋体" w:eastAsia="仿宋_GB2312"/>
                <w:sz w:val="28"/>
                <w:szCs w:val="28"/>
              </w:rPr>
            </w:pPr>
            <w:r>
              <w:rPr>
                <w:rFonts w:hint="eastAsia" w:ascii="仿宋_GB2312" w:hAnsi="宋体" w:eastAsia="仿宋_GB2312"/>
                <w:sz w:val="28"/>
                <w:szCs w:val="28"/>
              </w:rPr>
              <w:t xml:space="preserve">     知，导致仲裁文书未能被当事人实际接收的，当事人将自行承   承担由此可能产生的法律后果。</w:t>
            </w:r>
          </w:p>
          <w:p>
            <w:pPr>
              <w:widowControl/>
              <w:spacing w:line="500" w:lineRule="exact"/>
              <w:ind w:left="-420" w:leftChars="-200"/>
              <w:rPr>
                <w:rFonts w:hint="eastAsia" w:ascii="仿宋_GB2312" w:hAnsi="宋体" w:eastAsia="仿宋_GB2312"/>
                <w:sz w:val="28"/>
                <w:szCs w:val="28"/>
              </w:rPr>
            </w:pPr>
            <w:r>
              <w:rPr>
                <w:rFonts w:hint="eastAsia" w:ascii="仿宋_GB2312" w:hAnsi="宋体" w:eastAsia="仿宋_GB2312"/>
                <w:sz w:val="28"/>
                <w:szCs w:val="28"/>
              </w:rPr>
              <w:t xml:space="preserve">   4.以电子送达方式（裁决书、调解书、决定书除外）送达仲裁</w:t>
            </w:r>
          </w:p>
          <w:p>
            <w:pPr>
              <w:widowControl/>
              <w:spacing w:line="500" w:lineRule="exact"/>
              <w:ind w:left="-420" w:leftChars="-200"/>
              <w:rPr>
                <w:rFonts w:hint="eastAsia" w:ascii="仿宋_GB2312" w:hAnsi="宋体" w:eastAsia="仿宋_GB2312"/>
                <w:sz w:val="28"/>
                <w:szCs w:val="28"/>
              </w:rPr>
            </w:pPr>
            <w:r>
              <w:rPr>
                <w:rFonts w:hint="eastAsia" w:ascii="仿宋_GB2312" w:hAnsi="宋体" w:eastAsia="仿宋_GB2312"/>
                <w:sz w:val="28"/>
                <w:szCs w:val="28"/>
              </w:rPr>
              <w:t xml:space="preserve">     文书的，以发送方设备显示发送成功视为送达。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4" w:hRule="atLeast"/>
          <w:jc w:val="center"/>
        </w:trPr>
        <w:tc>
          <w:tcPr>
            <w:tcW w:w="648" w:type="dxa"/>
            <w:vMerge w:val="restart"/>
            <w:noWrap w:val="0"/>
            <w:textDirection w:val="tbRlV"/>
            <w:vAlign w:val="center"/>
          </w:tcPr>
          <w:p>
            <w:pPr>
              <w:widowControl/>
              <w:spacing w:line="280" w:lineRule="exact"/>
              <w:ind w:left="113" w:right="113"/>
              <w:jc w:val="center"/>
              <w:rPr>
                <w:rFonts w:hint="eastAsia" w:ascii="仿宋_GB2312" w:hAnsi="宋体" w:eastAsia="仿宋_GB2312"/>
                <w:sz w:val="28"/>
                <w:szCs w:val="28"/>
              </w:rPr>
            </w:pPr>
            <w:r>
              <w:rPr>
                <w:rFonts w:hint="eastAsia" w:ascii="仿宋_GB2312" w:hAnsi="宋体" w:eastAsia="仿宋_GB2312"/>
                <w:sz w:val="28"/>
                <w:szCs w:val="28"/>
              </w:rPr>
              <w:t>当 事 人 提 供 的 送 达 地 址</w:t>
            </w:r>
          </w:p>
        </w:tc>
        <w:tc>
          <w:tcPr>
            <w:tcW w:w="8203" w:type="dxa"/>
            <w:gridSpan w:val="2"/>
            <w:noWrap w:val="0"/>
            <w:vAlign w:val="center"/>
          </w:tcPr>
          <w:p>
            <w:pPr>
              <w:widowControl/>
              <w:spacing w:line="2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当事人：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XXX</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widowControl/>
              <w:spacing w:line="280" w:lineRule="exact"/>
              <w:ind w:firstLine="560" w:firstLineChars="200"/>
              <w:rPr>
                <w:rFonts w:hint="eastAsia" w:ascii="仿宋_GB2312" w:hAnsi="宋体" w:eastAsia="仿宋_GB2312"/>
                <w:sz w:val="28"/>
                <w:szCs w:val="28"/>
              </w:rPr>
            </w:pPr>
          </w:p>
          <w:p>
            <w:pPr>
              <w:widowControl/>
              <w:spacing w:line="2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有效送达地址：</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XX</w:t>
            </w:r>
            <w:r>
              <w:rPr>
                <w:rFonts w:hint="eastAsia" w:ascii="仿宋_GB2312" w:hAnsi="宋体" w:eastAsia="仿宋_GB2312"/>
                <w:sz w:val="28"/>
                <w:szCs w:val="28"/>
                <w:u w:val="single"/>
              </w:rPr>
              <w:t xml:space="preserve"> </w:t>
            </w:r>
            <w:r>
              <w:rPr>
                <w:rFonts w:hint="eastAsia" w:ascii="仿宋_GB2312" w:hAnsi="宋体" w:eastAsia="仿宋_GB2312"/>
                <w:sz w:val="28"/>
                <w:szCs w:val="28"/>
              </w:rPr>
              <w:t>省</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XX</w:t>
            </w:r>
            <w:r>
              <w:rPr>
                <w:rFonts w:hint="eastAsia" w:ascii="仿宋_GB2312" w:hAnsi="宋体" w:eastAsia="仿宋_GB2312"/>
                <w:sz w:val="28"/>
                <w:szCs w:val="28"/>
                <w:u w:val="single"/>
              </w:rPr>
              <w:t xml:space="preserve">  </w:t>
            </w:r>
            <w:r>
              <w:rPr>
                <w:rFonts w:hint="eastAsia" w:ascii="仿宋_GB2312" w:hAnsi="宋体" w:eastAsia="仿宋_GB2312"/>
                <w:sz w:val="28"/>
                <w:szCs w:val="28"/>
              </w:rPr>
              <w:t>市</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XX</w:t>
            </w:r>
            <w:r>
              <w:rPr>
                <w:rFonts w:hint="eastAsia" w:ascii="仿宋_GB2312" w:hAnsi="宋体" w:eastAsia="仿宋_GB2312"/>
                <w:sz w:val="28"/>
                <w:szCs w:val="28"/>
                <w:u w:val="single"/>
              </w:rPr>
              <w:t xml:space="preserve"> </w:t>
            </w:r>
            <w:r>
              <w:rPr>
                <w:rFonts w:hint="eastAsia" w:ascii="仿宋_GB2312" w:hAnsi="宋体" w:eastAsia="仿宋_GB2312"/>
                <w:sz w:val="28"/>
                <w:szCs w:val="28"/>
              </w:rPr>
              <w:t>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县       </w:t>
            </w:r>
          </w:p>
          <w:p>
            <w:pPr>
              <w:widowControl/>
              <w:spacing w:line="280" w:lineRule="exact"/>
              <w:ind w:firstLine="560" w:firstLineChars="200"/>
              <w:rPr>
                <w:rFonts w:hint="eastAsia" w:ascii="仿宋_GB2312" w:hAnsi="宋体" w:eastAsia="仿宋_GB2312"/>
                <w:sz w:val="28"/>
                <w:szCs w:val="28"/>
              </w:rPr>
            </w:pPr>
          </w:p>
          <w:p>
            <w:pPr>
              <w:widowControl/>
              <w:spacing w:line="2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XX街道XX路XX号</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widowControl/>
              <w:spacing w:line="280" w:lineRule="exact"/>
              <w:ind w:firstLine="560" w:firstLineChars="200"/>
              <w:rPr>
                <w:rFonts w:hint="eastAsia" w:ascii="仿宋_GB2312" w:hAnsi="宋体" w:eastAsia="仿宋_GB2312"/>
                <w:sz w:val="28"/>
                <w:szCs w:val="28"/>
              </w:rPr>
            </w:pPr>
          </w:p>
          <w:p>
            <w:pPr>
              <w:widowControl/>
              <w:spacing w:line="2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邮政编码：</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XXXXXX </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widowControl/>
              <w:spacing w:line="280" w:lineRule="exact"/>
              <w:ind w:firstLine="560" w:firstLineChars="200"/>
              <w:rPr>
                <w:rFonts w:hint="eastAsia" w:ascii="仿宋_GB2312" w:hAnsi="宋体" w:eastAsia="仿宋_GB2312"/>
                <w:sz w:val="28"/>
                <w:szCs w:val="28"/>
              </w:rPr>
            </w:pPr>
          </w:p>
          <w:p>
            <w:pPr>
              <w:widowControl/>
              <w:spacing w:line="2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有效联系电话：</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XXXXXXXXXXXXXXX            </w:t>
            </w:r>
            <w:r>
              <w:rPr>
                <w:rFonts w:hint="eastAsia" w:ascii="仿宋_GB2312" w:hAnsi="宋体" w:eastAsia="仿宋_GB2312"/>
                <w:sz w:val="28"/>
                <w:szCs w:val="28"/>
                <w:u w:val="single"/>
              </w:rPr>
              <w:t xml:space="preserve">           </w:t>
            </w:r>
          </w:p>
          <w:p>
            <w:pPr>
              <w:widowControl/>
              <w:spacing w:line="280" w:lineRule="exact"/>
              <w:ind w:firstLine="560" w:firstLineChars="200"/>
              <w:rPr>
                <w:rFonts w:hint="eastAsia" w:ascii="仿宋_GB2312" w:hAnsi="宋体" w:eastAsia="仿宋_GB2312"/>
                <w:sz w:val="28"/>
                <w:szCs w:val="28"/>
              </w:rPr>
            </w:pPr>
          </w:p>
          <w:p>
            <w:pPr>
              <w:widowControl/>
              <w:spacing w:line="28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收件人：</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XXX    </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70" w:hRule="atLeast"/>
          <w:jc w:val="center"/>
        </w:trPr>
        <w:tc>
          <w:tcPr>
            <w:tcW w:w="648" w:type="dxa"/>
            <w:vMerge w:val="continue"/>
            <w:noWrap w:val="0"/>
            <w:textDirection w:val="tbRlV"/>
            <w:vAlign w:val="center"/>
          </w:tcPr>
          <w:p>
            <w:pPr>
              <w:widowControl/>
              <w:spacing w:line="280" w:lineRule="exact"/>
              <w:ind w:left="113" w:right="113"/>
              <w:jc w:val="center"/>
              <w:rPr>
                <w:rFonts w:hint="eastAsia" w:ascii="仿宋_GB2312" w:hAnsi="宋体" w:eastAsia="仿宋_GB2312"/>
                <w:sz w:val="28"/>
                <w:szCs w:val="28"/>
              </w:rPr>
            </w:pPr>
          </w:p>
        </w:tc>
        <w:tc>
          <w:tcPr>
            <w:tcW w:w="1411" w:type="dxa"/>
            <w:noWrap w:val="0"/>
            <w:vAlign w:val="center"/>
          </w:tcPr>
          <w:p>
            <w:pPr>
              <w:widowControl/>
              <w:spacing w:line="280" w:lineRule="exact"/>
              <w:jc w:val="center"/>
              <w:rPr>
                <w:rFonts w:hint="eastAsia" w:ascii="仿宋_GB2312" w:hAnsi="宋体" w:eastAsia="仿宋_GB2312"/>
                <w:sz w:val="28"/>
                <w:szCs w:val="28"/>
              </w:rPr>
            </w:pPr>
            <w:r>
              <w:rPr>
                <w:rFonts w:hint="eastAsia" w:ascii="仿宋_GB2312" w:hAnsi="宋体" w:eastAsia="仿宋_GB2312"/>
                <w:sz w:val="28"/>
                <w:szCs w:val="28"/>
              </w:rPr>
              <w:t>是否接受</w:t>
            </w:r>
          </w:p>
          <w:p>
            <w:pPr>
              <w:widowControl/>
              <w:spacing w:line="280" w:lineRule="exact"/>
              <w:jc w:val="center"/>
              <w:rPr>
                <w:rFonts w:hint="eastAsia" w:ascii="仿宋_GB2312" w:hAnsi="宋体" w:eastAsia="仿宋_GB2312"/>
                <w:sz w:val="28"/>
                <w:szCs w:val="28"/>
              </w:rPr>
            </w:pPr>
          </w:p>
          <w:p>
            <w:pPr>
              <w:widowControl/>
              <w:spacing w:line="280" w:lineRule="exact"/>
              <w:jc w:val="center"/>
              <w:rPr>
                <w:rFonts w:hint="eastAsia" w:ascii="仿宋_GB2312" w:hAnsi="宋体" w:eastAsia="仿宋_GB2312"/>
                <w:sz w:val="28"/>
                <w:szCs w:val="28"/>
              </w:rPr>
            </w:pPr>
            <w:r>
              <w:rPr>
                <w:rFonts w:hint="eastAsia" w:ascii="仿宋_GB2312" w:hAnsi="宋体" w:eastAsia="仿宋_GB2312"/>
                <w:sz w:val="28"/>
                <w:szCs w:val="28"/>
              </w:rPr>
              <w:t>电子送达</w:t>
            </w:r>
          </w:p>
        </w:tc>
        <w:tc>
          <w:tcPr>
            <w:tcW w:w="6792" w:type="dxa"/>
            <w:noWrap w:val="0"/>
            <w:vAlign w:val="center"/>
          </w:tcPr>
          <w:p>
            <w:pPr>
              <w:widowControl/>
              <w:spacing w:line="280" w:lineRule="exact"/>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sz w:val="28"/>
                <w:szCs w:val="28"/>
              </w:rPr>
              <w:sym w:font="Wingdings 2" w:char="0052"/>
            </w:r>
            <w:r>
              <w:rPr>
                <w:rFonts w:hint="eastAsia" w:ascii="仿宋_GB2312" w:hAnsi="宋体" w:eastAsia="仿宋_GB2312"/>
                <w:sz w:val="28"/>
                <w:szCs w:val="28"/>
              </w:rPr>
              <w:t>是   □否</w:t>
            </w:r>
          </w:p>
          <w:p>
            <w:pPr>
              <w:widowControl/>
              <w:spacing w:line="280" w:lineRule="exact"/>
              <w:rPr>
                <w:rFonts w:hint="eastAsia" w:ascii="仿宋_GB2312" w:hAnsi="宋体" w:eastAsia="仿宋_GB2312"/>
                <w:sz w:val="28"/>
                <w:szCs w:val="28"/>
              </w:rPr>
            </w:pPr>
            <w:r>
              <w:rPr>
                <w:rFonts w:hint="eastAsia" w:ascii="仿宋_GB2312" w:hAnsi="宋体" w:eastAsia="仿宋_GB2312"/>
                <w:sz w:val="28"/>
                <w:szCs w:val="28"/>
              </w:rPr>
              <w:t xml:space="preserve">   </w:t>
            </w:r>
          </w:p>
          <w:p>
            <w:pPr>
              <w:widowControl/>
              <w:spacing w:line="280" w:lineRule="exact"/>
              <w:rPr>
                <w:rFonts w:hint="eastAsia" w:ascii="仿宋_GB2312" w:hAnsi="宋体" w:eastAsia="仿宋_GB2312"/>
                <w:sz w:val="28"/>
                <w:szCs w:val="28"/>
              </w:rPr>
            </w:pPr>
            <w:r>
              <w:rPr>
                <w:rFonts w:hint="eastAsia" w:ascii="仿宋_GB2312" w:hAnsi="宋体" w:eastAsia="仿宋_GB2312"/>
                <w:sz w:val="28"/>
                <w:szCs w:val="28"/>
              </w:rPr>
              <w:t xml:space="preserve">   电子邮件地址：</w:t>
            </w:r>
            <w:r>
              <w:rPr>
                <w:rFonts w:hint="eastAsia" w:ascii="仿宋_GB2312" w:hAnsi="宋体" w:eastAsia="仿宋_GB2312"/>
                <w:sz w:val="28"/>
                <w:szCs w:val="28"/>
                <w:u w:val="single"/>
                <w:lang w:val="en-US" w:eastAsia="zh-CN"/>
              </w:rPr>
              <w:t xml:space="preserve">XXXXXXXXXXX    </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2" w:hRule="atLeast"/>
          <w:jc w:val="center"/>
        </w:trPr>
        <w:tc>
          <w:tcPr>
            <w:tcW w:w="648" w:type="dxa"/>
            <w:noWrap w:val="0"/>
            <w:textDirection w:val="tbRlV"/>
            <w:vAlign w:val="center"/>
          </w:tcPr>
          <w:p>
            <w:pPr>
              <w:widowControl/>
              <w:spacing w:line="280" w:lineRule="exact"/>
              <w:ind w:left="113" w:right="113"/>
              <w:jc w:val="center"/>
              <w:rPr>
                <w:rFonts w:hint="eastAsia" w:ascii="仿宋_GB2312" w:hAnsi="宋体" w:eastAsia="仿宋_GB2312"/>
                <w:sz w:val="28"/>
                <w:szCs w:val="28"/>
              </w:rPr>
            </w:pPr>
            <w:r>
              <w:rPr>
                <w:rFonts w:hint="eastAsia" w:ascii="仿宋_GB2312" w:hAnsi="宋体" w:eastAsia="仿宋_GB2312"/>
                <w:sz w:val="28"/>
                <w:szCs w:val="28"/>
              </w:rPr>
              <w:t>当 事 人 确 认</w:t>
            </w:r>
          </w:p>
        </w:tc>
        <w:tc>
          <w:tcPr>
            <w:tcW w:w="8203" w:type="dxa"/>
            <w:gridSpan w:val="2"/>
            <w:noWrap w:val="0"/>
            <w:vAlign w:val="center"/>
          </w:tcPr>
          <w:p>
            <w:pPr>
              <w:widowControl/>
              <w:spacing w:line="5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已经阅读了本有效送达地址确认书的告知事项（包括事项栏及背面内容），提供了上栏送达地址，并保证所提供的送达地址各项内容是准确的、有效的。如在仲裁过程中送达地址发生变化，将及时通知仲裁委。</w:t>
            </w:r>
          </w:p>
          <w:p>
            <w:pPr>
              <w:widowControl/>
              <w:spacing w:line="280" w:lineRule="exact"/>
              <w:ind w:firstLine="2240" w:firstLineChars="800"/>
              <w:rPr>
                <w:rFonts w:hint="eastAsia" w:ascii="仿宋_GB2312" w:hAnsi="宋体" w:eastAsia="仿宋_GB2312"/>
                <w:sz w:val="28"/>
                <w:szCs w:val="28"/>
              </w:rPr>
            </w:pPr>
          </w:p>
          <w:p>
            <w:pPr>
              <w:widowControl/>
              <w:spacing w:line="280" w:lineRule="exact"/>
              <w:rPr>
                <w:rFonts w:hint="eastAsia" w:ascii="仿宋_GB2312" w:hAnsi="宋体" w:eastAsia="仿宋_GB2312"/>
                <w:sz w:val="28"/>
                <w:szCs w:val="28"/>
              </w:rPr>
            </w:pPr>
            <w:r>
              <w:rPr>
                <w:rFonts w:hint="eastAsia" w:ascii="仿宋_GB2312" w:hAnsi="宋体" w:eastAsia="仿宋_GB2312"/>
                <w:sz w:val="28"/>
                <w:szCs w:val="28"/>
              </w:rPr>
              <w:t xml:space="preserve">    当事人或代理人签名：</w:t>
            </w:r>
            <w:r>
              <w:rPr>
                <w:rFonts w:hint="eastAsia" w:ascii="仿宋_GB2312" w:hAnsi="宋体" w:eastAsia="仿宋_GB2312"/>
                <w:sz w:val="28"/>
                <w:szCs w:val="28"/>
                <w:lang w:val="en-US" w:eastAsia="zh-CN"/>
              </w:rPr>
              <w:t>XXX</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 xml:space="preserve">    </w:t>
            </w:r>
            <w:bookmarkStart w:id="1" w:name="_GoBack"/>
            <w:bookmarkEnd w:id="1"/>
            <w:r>
              <w:rPr>
                <w:rFonts w:hint="eastAsia" w:ascii="仿宋_GB2312" w:hAnsi="宋体" w:eastAsia="仿宋_GB2312"/>
                <w:sz w:val="28"/>
                <w:szCs w:val="28"/>
                <w:lang w:val="en-US" w:eastAsia="zh-CN"/>
              </w:rPr>
              <w:t xml:space="preserve">    </w:t>
            </w:r>
            <w:r>
              <w:rPr>
                <w:rFonts w:hint="eastAsia" w:ascii="仿宋_GB2312" w:hAnsi="宋体" w:eastAsia="仿宋_GB2312"/>
                <w:sz w:val="28"/>
                <w:szCs w:val="28"/>
              </w:rPr>
              <w:t xml:space="preserve">  </w:t>
            </w:r>
            <w:r>
              <w:rPr>
                <w:rFonts w:hint="eastAsia" w:ascii="仿宋_GB2312" w:hAnsi="宋体" w:eastAsia="仿宋_GB2312"/>
                <w:sz w:val="28"/>
                <w:szCs w:val="28"/>
                <w:lang w:val="en-US" w:eastAsia="zh-CN"/>
              </w:rPr>
              <w:t>XXXX</w:t>
            </w:r>
            <w:r>
              <w:rPr>
                <w:rFonts w:hint="eastAsia" w:ascii="仿宋_GB2312" w:hAnsi="宋体" w:eastAsia="仿宋_GB2312"/>
                <w:sz w:val="28"/>
                <w:szCs w:val="28"/>
              </w:rPr>
              <w:t>年</w:t>
            </w:r>
            <w:r>
              <w:rPr>
                <w:rFonts w:hint="eastAsia" w:ascii="仿宋_GB2312" w:hAnsi="宋体" w:eastAsia="仿宋_GB2312"/>
                <w:sz w:val="28"/>
                <w:szCs w:val="28"/>
                <w:lang w:val="en-US" w:eastAsia="zh-CN"/>
              </w:rPr>
              <w:t>XX</w:t>
            </w:r>
            <w:r>
              <w:rPr>
                <w:rFonts w:hint="eastAsia" w:ascii="仿宋_GB2312" w:hAnsi="宋体" w:eastAsia="仿宋_GB2312"/>
                <w:sz w:val="28"/>
                <w:szCs w:val="28"/>
              </w:rPr>
              <w:t>月</w:t>
            </w:r>
            <w:r>
              <w:rPr>
                <w:rFonts w:hint="eastAsia" w:ascii="仿宋_GB2312" w:hAnsi="宋体" w:eastAsia="仿宋_GB2312"/>
                <w:sz w:val="28"/>
                <w:szCs w:val="28"/>
                <w:lang w:val="en-US" w:eastAsia="zh-CN"/>
              </w:rPr>
              <w:t>XX</w:t>
            </w:r>
            <w:r>
              <w:rPr>
                <w:rFonts w:hint="eastAsia" w:ascii="仿宋_GB2312" w:hAnsi="宋体" w:eastAsia="仿宋_GB2312"/>
                <w:sz w:val="28"/>
                <w:szCs w:val="28"/>
              </w:rPr>
              <w:t>日</w:t>
            </w:r>
          </w:p>
        </w:tc>
      </w:tr>
    </w:tbl>
    <w:p>
      <w:pPr>
        <w:keepNext w:val="0"/>
        <w:keepLines w:val="0"/>
        <w:pageBreakBefore w:val="0"/>
        <w:widowControl w:val="0"/>
        <w:kinsoku/>
        <w:wordWrap/>
        <w:overflowPunct/>
        <w:topLinePunct w:val="0"/>
        <w:autoSpaceDE/>
        <w:autoSpaceDN/>
        <w:bidi w:val="0"/>
        <w:adjustRightInd/>
        <w:snapToGrid/>
        <w:spacing w:after="313" w:afterLines="100" w:line="500" w:lineRule="exact"/>
        <w:jc w:val="center"/>
        <w:textAlignment w:val="auto"/>
        <w:rPr>
          <w:rFonts w:hint="eastAsia"/>
          <w:b/>
          <w:bCs/>
          <w:sz w:val="32"/>
          <w:szCs w:val="32"/>
        </w:rPr>
      </w:pPr>
      <w:r>
        <w:rPr>
          <w:rFonts w:hint="eastAsia"/>
          <w:b/>
          <w:bCs/>
          <w:sz w:val="32"/>
          <w:szCs w:val="32"/>
        </w:rPr>
        <w:t>送达地址有关事项告知书</w:t>
      </w:r>
    </w:p>
    <w:p>
      <w:pPr>
        <w:spacing w:line="5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根据《劳动人事争议仲裁办案规则》、《广东省劳动人事争议处理办法》，参照《中华人民共和国民事诉讼法》及其有关司法解释、《最高人民法院关于以法院专递方式邮寄送达民事诉讼文书的若干规定》等，现将送达地址及送达方式有关事项告知如下：</w:t>
      </w:r>
    </w:p>
    <w:p>
      <w:pPr>
        <w:numPr>
          <w:ilvl w:val="0"/>
          <w:numId w:val="2"/>
        </w:numPr>
        <w:spacing w:line="5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仲裁委员会直接送达仲裁文书有困难的，可以交由国家邮政机构以仲裁专递方式邮寄送达。</w:t>
      </w:r>
    </w:p>
    <w:p>
      <w:pPr>
        <w:numPr>
          <w:ilvl w:val="0"/>
          <w:numId w:val="2"/>
        </w:numPr>
        <w:spacing w:line="5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以仲裁专递方式邮寄送达仲裁文书的，其送达与仲裁委员会送达具有同等法律效力。</w:t>
      </w:r>
    </w:p>
    <w:p>
      <w:pPr>
        <w:numPr>
          <w:ilvl w:val="0"/>
          <w:numId w:val="2"/>
        </w:numPr>
        <w:spacing w:line="5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经受送达人同意，本委将采用电子送达方式送达仲裁文书，但裁决书、调解书、决定书除外。电子送达到达受送达人电子邮箱的日期，即本委对应系统显示发送成功的日期为送达日期。</w:t>
      </w:r>
    </w:p>
    <w:p>
      <w:pPr>
        <w:numPr>
          <w:ilvl w:val="0"/>
          <w:numId w:val="2"/>
        </w:numPr>
        <w:spacing w:line="5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以仲裁委员会电子送达方式送达仲裁文书的，其送达与仲裁委员会送达具有同等法律效力。</w:t>
      </w:r>
    </w:p>
    <w:p>
      <w:pPr>
        <w:numPr>
          <w:ilvl w:val="0"/>
          <w:numId w:val="2"/>
        </w:numPr>
        <w:spacing w:line="5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事人申请仲裁时或者领取应诉文书时应当向仲裁委员会提供或者确认自己准确的送达地址，并填写当事人有效送达地址确认书。当事人拒绝提供的，仲裁委员会应该告知其拒不提供送达地址的不利后果，并记入笔录。</w:t>
      </w:r>
    </w:p>
    <w:p>
      <w:pPr>
        <w:numPr>
          <w:ilvl w:val="0"/>
          <w:numId w:val="2"/>
        </w:numPr>
        <w:spacing w:line="5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当事人拒绝提供自己的送达地址，经仲裁委员会告知后仍不提供的，自然人以其户籍登记中的住所地或者经常居住地为送达地址；法人或者其他组织以其商事登记或者其他依法登记、备案中的住所地为送达地址。</w:t>
      </w:r>
    </w:p>
    <w:p>
      <w:pPr>
        <w:numPr>
          <w:ilvl w:val="0"/>
          <w:numId w:val="2"/>
        </w:numPr>
        <w:spacing w:line="500" w:lineRule="exact"/>
        <w:ind w:firstLine="56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因受送达人自己提供或者确认的送达地址不准确、拒不提供送达地址、送达地址变更未及时告知仲裁委员会、受送达人本人或者受送达人指定的收件人拒绝签收，导致仲裁文书未能被受送达人实际接收的，文书退回之日视为送达之日。受送达人能够证明自己在仲裁文书送达的过程中没有过错的，不适用前款规定。</w:t>
      </w:r>
    </w:p>
    <w:p>
      <w:pPr>
        <w:rPr>
          <w:rFonts w:hint="eastAsia"/>
          <w:sz w:val="18"/>
          <w:szCs w:val="18"/>
        </w:rPr>
      </w:pPr>
    </w:p>
    <w:sectPr>
      <w:pgSz w:w="11906" w:h="16838"/>
      <w:pgMar w:top="1440" w:right="1519" w:bottom="1157"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Wingdings 2">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singleLevel"/>
    <w:tmpl w:val="00000005"/>
    <w:lvl w:ilvl="0" w:tentative="0">
      <w:start w:val="1"/>
      <w:numFmt w:val="decimal"/>
      <w:suff w:val="nothing"/>
      <w:lvlText w:val="%1."/>
      <w:lvlJc w:val="left"/>
    </w:lvl>
  </w:abstractNum>
  <w:abstractNum w:abstractNumId="1">
    <w:nsid w:val="00000007"/>
    <w:multiLevelType w:val="singleLevel"/>
    <w:tmpl w:val="00000007"/>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4Y2QxNmY3Y2ExODhjNDNhNjg1ZDRhYjM3NzA2NWUifQ=="/>
  </w:docVars>
  <w:rsids>
    <w:rsidRoot w:val="00172A27"/>
    <w:rsid w:val="003F2A01"/>
    <w:rsid w:val="00D20781"/>
    <w:rsid w:val="01460BC8"/>
    <w:rsid w:val="0BF40511"/>
    <w:rsid w:val="0FB20BAC"/>
    <w:rsid w:val="13255E5C"/>
    <w:rsid w:val="1C04089C"/>
    <w:rsid w:val="237627CA"/>
    <w:rsid w:val="2A6603D4"/>
    <w:rsid w:val="2FEB51AF"/>
    <w:rsid w:val="43607270"/>
    <w:rsid w:val="476E2500"/>
    <w:rsid w:val="6B9D0D65"/>
    <w:rsid w:val="7AE83A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
    <w:qFormat/>
    <w:uiPriority w:val="0"/>
    <w:pPr>
      <w:keepNext/>
      <w:keepLines/>
      <w:spacing w:before="340" w:beforeLines="0" w:after="330" w:afterLines="0" w:line="578" w:lineRule="auto"/>
      <w:outlineLvl w:val="0"/>
    </w:pPr>
    <w:rPr>
      <w:rFonts w:eastAsia="宋体"/>
      <w:b/>
      <w:bCs/>
      <w:kern w:val="44"/>
      <w:sz w:val="44"/>
      <w:szCs w:val="44"/>
      <w:lang w:val="en-US" w:eastAsia="zh-CN" w:bidi="ar-SA"/>
    </w:rPr>
  </w:style>
  <w:style w:type="character" w:default="1" w:styleId="7">
    <w:name w:val="Default Paragraph Font"/>
    <w:autoRedefine/>
    <w:qFormat/>
    <w:uiPriority w:val="0"/>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3">
    <w:name w:val="Balloon Text"/>
    <w:basedOn w:val="1"/>
    <w:autoRedefine/>
    <w:qFormat/>
    <w:uiPriority w:val="0"/>
    <w:rPr>
      <w:sz w:val="18"/>
      <w:szCs w:val="18"/>
    </w:rPr>
  </w:style>
  <w:style w:type="paragraph" w:styleId="4">
    <w:name w:val="footer"/>
    <w:basedOn w:val="1"/>
    <w:link w:val="9"/>
    <w:autoRedefine/>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Char"/>
    <w:basedOn w:val="7"/>
    <w:link w:val="2"/>
    <w:uiPriority w:val="0"/>
    <w:rPr>
      <w:rFonts w:eastAsia="宋体"/>
      <w:b/>
      <w:bCs/>
      <w:kern w:val="44"/>
      <w:sz w:val="44"/>
      <w:szCs w:val="44"/>
      <w:lang w:val="en-US" w:eastAsia="zh-CN" w:bidi="ar-SA"/>
    </w:rPr>
  </w:style>
  <w:style w:type="character" w:customStyle="1" w:styleId="9">
    <w:name w:val="页脚 Char"/>
    <w:basedOn w:val="7"/>
    <w:link w:val="4"/>
    <w:autoRedefine/>
    <w:semiHidden/>
    <w:qFormat/>
    <w:uiPriority w:val="99"/>
    <w:rPr>
      <w:kern w:val="2"/>
      <w:sz w:val="18"/>
      <w:szCs w:val="18"/>
    </w:rPr>
  </w:style>
  <w:style w:type="character" w:customStyle="1" w:styleId="10">
    <w:name w:val="页眉 Char"/>
    <w:basedOn w:val="7"/>
    <w:link w:val="5"/>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1093</Words>
  <Characters>1139</Characters>
  <Lines>10</Lines>
  <Paragraphs>2</Paragraphs>
  <TotalTime>0</TotalTime>
  <ScaleCrop>false</ScaleCrop>
  <LinksUpToDate>false</LinksUpToDate>
  <CharactersWithSpaces>1464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2010-12-24T08:26:00Z</dcterms:created>
  <dc:creator>User</dc:creator>
  <cp:lastModifiedBy>张治儒</cp:lastModifiedBy>
  <cp:lastPrinted>2011-12-28T10:49:00Z</cp:lastPrinted>
  <dcterms:modified xsi:type="dcterms:W3CDTF">2024-04-19T10:15:15Z</dcterms:modified>
  <dc:title>广州市海珠区劳动人事争议仲裁委员会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7A0F0D511775473E9D5E206009CE0A96_13</vt:lpwstr>
  </property>
</Properties>
</file>